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-1090295</wp:posOffset>
                </wp:positionH>
                <wp:positionV relativeFrom="paragraph">
                  <wp:posOffset>114300</wp:posOffset>
                </wp:positionV>
                <wp:extent cx="6668770" cy="2159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828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5.9pt,8.35pt" to="439.1pt,9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/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Соглашение о взаимодействии подписано между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О</w:t>
      </w:r>
      <w:r>
        <w:rPr>
          <w:rFonts w:cs="Times New Roman" w:ascii="Times New Roman" w:hAnsi="Times New Roman"/>
          <w:b/>
          <w:sz w:val="28"/>
          <w:szCs w:val="28"/>
        </w:rPr>
        <w:t>ПФР</w:t>
      </w:r>
      <w:r>
        <w:rPr>
          <w:rFonts w:cs="Times New Roman" w:ascii="Times New Roman" w:hAnsi="Times New Roman"/>
          <w:b/>
          <w:sz w:val="28"/>
          <w:szCs w:val="28"/>
        </w:rPr>
        <w:t xml:space="preserve"> по Волгоградской области и уполномоченным по правам реб</w:t>
      </w:r>
      <w:r>
        <w:rPr>
          <w:rFonts w:cs="Times New Roman" w:ascii="Times New Roman" w:hAnsi="Times New Roman"/>
          <w:b/>
          <w:sz w:val="28"/>
          <w:szCs w:val="28"/>
        </w:rPr>
        <w:t>ё</w:t>
      </w:r>
      <w:r>
        <w:rPr>
          <w:rFonts w:cs="Times New Roman" w:ascii="Times New Roman" w:hAnsi="Times New Roman"/>
          <w:b/>
          <w:sz w:val="28"/>
          <w:szCs w:val="28"/>
        </w:rPr>
        <w:t xml:space="preserve">нка </w:t>
        <w:br/>
        <w:br/>
        <w:tab/>
      </w:r>
      <w:r>
        <w:rPr>
          <w:rFonts w:cs="Times New Roman" w:ascii="Times New Roman" w:hAnsi="Times New Roman"/>
          <w:sz w:val="28"/>
          <w:szCs w:val="28"/>
        </w:rPr>
        <w:t>Сегодня управляющий Отделением Пенсионного фонда по Волгоградской области Владимир Фёдоров и уполномоченный по правам реб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нка в регионе Нина Болдырева подписали </w:t>
      </w:r>
      <w:r>
        <w:rPr>
          <w:rFonts w:cs="Times New Roman" w:ascii="Times New Roman" w:hAnsi="Times New Roman"/>
          <w:sz w:val="28"/>
          <w:szCs w:val="28"/>
        </w:rPr>
        <w:t>С</w:t>
      </w:r>
      <w:r>
        <w:rPr>
          <w:rFonts w:cs="Times New Roman" w:ascii="Times New Roman" w:hAnsi="Times New Roman"/>
          <w:sz w:val="28"/>
          <w:szCs w:val="28"/>
        </w:rPr>
        <w:t xml:space="preserve">оглашение о взаимодействии. Соглашение призвано обеспечить гарантию государственной защиты, соблюдения и уважения прав детей, активного взаимодействия по вопросам восстановления прав детей </w:t>
      </w:r>
      <w:r>
        <w:rPr>
          <w:rFonts w:cs="Times New Roman" w:ascii="Times New Roman" w:hAnsi="Times New Roman"/>
          <w:sz w:val="28"/>
          <w:szCs w:val="28"/>
        </w:rPr>
        <w:t>в</w:t>
      </w:r>
      <w:r>
        <w:rPr>
          <w:rFonts w:cs="Times New Roman" w:ascii="Times New Roman" w:hAnsi="Times New Roman"/>
          <w:sz w:val="28"/>
          <w:szCs w:val="28"/>
        </w:rPr>
        <w:t xml:space="preserve">олгоградского региона, совместного рассмотрения обращений, имеющих высокую общественную значимость, создание рабочих групп для подготовки предложений по совершенствованию законодательства.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В ходе встречи стороны обсудили последние изменения в пенсионном законодательстве, социальные выплаты, реализуемые Пенсионным фондом по указам Президента, а также постепенный переход к работе в режиме «одного окна». Это позволит семьям с детьми упростить получение господдержки и оформлять вс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 в одном месте.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«С каждым годом полномочия Пенсионного фонда в сфере социальной поддержки семей с детьми расширяются, - рассказал Управляющий Отделением Пенсионного фонда РФ по Волгоградской области Владимир Фёдоров. -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ачинали мы с материнского капитала, а сегодня мы помогаем детям ещ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 до рождения: оказываем меру поддержки женщинам, ставшим на уч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т в ранние сроки беременности. Государство предусматривает поддержку от рождения и практически до совершеннолетия реб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нка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 Все эти выплаты можно оформить в электронном виде, не посещая Пенсионный фонд и не собирая справки. А часть услуг, например, оформление СНИЛС новорожд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нному, сертификаты на материнский (семейный) капитал, выплаты школьникам, назначение пенсии инвалидам и многое другое производится в беззаявительном порядке, и готовые документы приходят в личный кабинет на портале Госуслуг».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22</TotalTime>
  <Application>LibreOffice/5.0.4.2$Windows_x86 LibreOffice_project/2b9802c1994aa0b7dc6079e128979269cf95bc78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2022-06-01T11:55:46Z</dcterms:modified>
  <cp:revision>127</cp:revision>
</cp:coreProperties>
</file>